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F6CB3" w14:textId="77777777" w:rsidR="005B497C" w:rsidRPr="00B54BD1" w:rsidRDefault="005B497C" w:rsidP="00EE2CB9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"/>
        </w:rPr>
      </w:pPr>
      <w:r w:rsidRPr="00B54BD1">
        <w:rPr>
          <w:rFonts w:ascii="Times New Roman" w:hAnsi="Times New Roman" w:cs="Times New Roman"/>
          <w:b/>
          <w:bCs/>
          <w:color w:val="000000"/>
          <w:sz w:val="28"/>
          <w:szCs w:val="28"/>
          <w:lang w:val="ru"/>
        </w:rPr>
        <w:t xml:space="preserve">Данная информация предназначена только для </w:t>
      </w:r>
    </w:p>
    <w:p w14:paraId="6E91D129" w14:textId="19DE6C5A" w:rsidR="00114420" w:rsidRPr="00B54BD1" w:rsidRDefault="005B497C" w:rsidP="00EE2CB9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"/>
        </w:rPr>
      </w:pPr>
      <w:r w:rsidRPr="00B54BD1">
        <w:rPr>
          <w:rFonts w:ascii="Times New Roman" w:hAnsi="Times New Roman" w:cs="Times New Roman"/>
          <w:b/>
          <w:bCs/>
          <w:color w:val="000000"/>
          <w:sz w:val="28"/>
          <w:szCs w:val="28"/>
          <w:lang w:val="ru"/>
        </w:rPr>
        <w:t>специалистов здравоохранения</w:t>
      </w:r>
    </w:p>
    <w:p w14:paraId="2C649C40" w14:textId="46702EFC" w:rsidR="00114420" w:rsidRPr="00B54BD1" w:rsidRDefault="00114420" w:rsidP="00EE2CB9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</w:pPr>
    </w:p>
    <w:p w14:paraId="58C75543" w14:textId="721EC267" w:rsidR="005B497C" w:rsidRDefault="005B497C" w:rsidP="00EE2CB9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</w:pPr>
    </w:p>
    <w:p w14:paraId="2114EC2C" w14:textId="3AB5061D" w:rsidR="005B497C" w:rsidRDefault="005B497C" w:rsidP="00EE2CB9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</w:pPr>
    </w:p>
    <w:p w14:paraId="4DB84DDE" w14:textId="3290147E" w:rsidR="005B497C" w:rsidRDefault="005B497C" w:rsidP="00EE2CB9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</w:pPr>
    </w:p>
    <w:p w14:paraId="5C6EED41" w14:textId="2690BB65" w:rsidR="005B497C" w:rsidRDefault="005B497C" w:rsidP="00EE2CB9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</w:pPr>
      <w:bookmarkStart w:id="0" w:name="_GoBack"/>
      <w:bookmarkEnd w:id="0"/>
    </w:p>
    <w:p w14:paraId="1971D0EF" w14:textId="3E691FFD" w:rsidR="005B497C" w:rsidRDefault="005B497C" w:rsidP="00EE2CB9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</w:pPr>
    </w:p>
    <w:p w14:paraId="61FD0B78" w14:textId="43ADDD46" w:rsidR="005B497C" w:rsidRDefault="005B497C" w:rsidP="00EE2CB9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</w:pPr>
    </w:p>
    <w:p w14:paraId="000EA8BD" w14:textId="0A167B21" w:rsidR="005B497C" w:rsidRDefault="005B497C" w:rsidP="00EE2CB9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</w:pPr>
    </w:p>
    <w:p w14:paraId="1B7E4BA0" w14:textId="5727FA29" w:rsidR="005B497C" w:rsidRDefault="005B497C" w:rsidP="00EE2CB9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</w:pPr>
    </w:p>
    <w:p w14:paraId="33B4EA36" w14:textId="3E89E200" w:rsidR="005B497C" w:rsidRDefault="005B497C" w:rsidP="00EE2CB9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</w:pPr>
    </w:p>
    <w:p w14:paraId="4AAFDF4F" w14:textId="77777777" w:rsidR="005B497C" w:rsidRDefault="005B497C" w:rsidP="00EE2CB9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</w:pPr>
    </w:p>
    <w:p w14:paraId="15DC9DDA" w14:textId="4D6C1A20" w:rsidR="00EB0AAA" w:rsidRPr="005B497C" w:rsidRDefault="006B3A79" w:rsidP="00EE2CB9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ru"/>
        </w:rPr>
      </w:pPr>
      <w:r w:rsidRPr="005B497C">
        <w:rPr>
          <w:rFonts w:ascii="Times New Roman" w:hAnsi="Times New Roman" w:cs="Times New Roman"/>
          <w:b/>
          <w:bCs/>
          <w:color w:val="000000"/>
          <w:sz w:val="44"/>
          <w:szCs w:val="44"/>
          <w:lang w:val="ru"/>
        </w:rPr>
        <w:t>Информационн</w:t>
      </w:r>
      <w:r w:rsidR="005B497C" w:rsidRPr="005B497C">
        <w:rPr>
          <w:rFonts w:ascii="Times New Roman" w:hAnsi="Times New Roman" w:cs="Times New Roman"/>
          <w:b/>
          <w:bCs/>
          <w:color w:val="000000"/>
          <w:sz w:val="44"/>
          <w:szCs w:val="44"/>
          <w:lang w:val="ru"/>
        </w:rPr>
        <w:t>ые</w:t>
      </w:r>
      <w:r w:rsidRPr="005B497C">
        <w:rPr>
          <w:rFonts w:ascii="Times New Roman" w:hAnsi="Times New Roman" w:cs="Times New Roman"/>
          <w:b/>
          <w:bCs/>
          <w:color w:val="000000"/>
          <w:sz w:val="44"/>
          <w:szCs w:val="44"/>
          <w:lang w:val="ru"/>
        </w:rPr>
        <w:t xml:space="preserve"> </w:t>
      </w:r>
      <w:r w:rsidR="005B497C" w:rsidRPr="005B497C">
        <w:rPr>
          <w:rFonts w:ascii="Times New Roman" w:hAnsi="Times New Roman" w:cs="Times New Roman"/>
          <w:b/>
          <w:bCs/>
          <w:color w:val="000000"/>
          <w:sz w:val="44"/>
          <w:szCs w:val="44"/>
          <w:lang w:val="ru"/>
        </w:rPr>
        <w:t>материалы по безопасности</w:t>
      </w:r>
    </w:p>
    <w:p w14:paraId="473311B2" w14:textId="0D3AB980" w:rsidR="005B497C" w:rsidRDefault="005B497C" w:rsidP="00EE2CB9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1B29C806" w14:textId="77777777" w:rsidR="005B497C" w:rsidRPr="00EE2CB9" w:rsidRDefault="005B497C" w:rsidP="00EE2CB9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5A93BC63" w14:textId="030A8A81" w:rsidR="005B497C" w:rsidRPr="005B497C" w:rsidRDefault="006B3A79" w:rsidP="00EE2CB9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"/>
        </w:rPr>
      </w:pPr>
      <w:r w:rsidRPr="005B497C">
        <w:rPr>
          <w:rFonts w:ascii="Times New Roman" w:hAnsi="Times New Roman" w:cs="Times New Roman"/>
          <w:b/>
          <w:bCs/>
          <w:color w:val="000000"/>
          <w:sz w:val="28"/>
          <w:szCs w:val="28"/>
          <w:lang w:val="ru"/>
        </w:rPr>
        <w:t>НЕОРЕКОРМОН® (</w:t>
      </w:r>
      <w:proofErr w:type="spellStart"/>
      <w:r w:rsidRPr="005B497C">
        <w:rPr>
          <w:rFonts w:ascii="Times New Roman" w:hAnsi="Times New Roman" w:cs="Times New Roman"/>
          <w:b/>
          <w:bCs/>
          <w:color w:val="000000"/>
          <w:sz w:val="28"/>
          <w:szCs w:val="28"/>
          <w:lang w:val="ru"/>
        </w:rPr>
        <w:t>эпоэтин</w:t>
      </w:r>
      <w:proofErr w:type="spellEnd"/>
      <w:r w:rsidRPr="005B497C">
        <w:rPr>
          <w:rFonts w:ascii="Times New Roman" w:hAnsi="Times New Roman" w:cs="Times New Roman"/>
          <w:b/>
          <w:bCs/>
          <w:color w:val="000000"/>
          <w:sz w:val="28"/>
          <w:szCs w:val="28"/>
          <w:lang w:val="ru"/>
        </w:rPr>
        <w:t xml:space="preserve"> бета)</w:t>
      </w:r>
    </w:p>
    <w:p w14:paraId="4BA08079" w14:textId="0AA44264" w:rsidR="00EB0AAA" w:rsidRPr="005B497C" w:rsidRDefault="006B3A79" w:rsidP="00EE2CB9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5B497C">
        <w:rPr>
          <w:rFonts w:ascii="Times New Roman" w:hAnsi="Times New Roman" w:cs="Times New Roman"/>
          <w:b/>
          <w:bCs/>
          <w:color w:val="000000"/>
          <w:sz w:val="28"/>
          <w:szCs w:val="28"/>
          <w:lang w:val="ru"/>
        </w:rPr>
        <w:t>Повышение смертности при лечении анемии у</w:t>
      </w:r>
      <w:r w:rsidR="005B497C" w:rsidRPr="005B497C">
        <w:rPr>
          <w:rFonts w:ascii="Times New Roman" w:hAnsi="Times New Roman" w:cs="Times New Roman"/>
          <w:b/>
          <w:bCs/>
          <w:color w:val="000000"/>
          <w:sz w:val="28"/>
          <w:szCs w:val="28"/>
          <w:lang w:val="ru"/>
        </w:rPr>
        <w:t xml:space="preserve"> </w:t>
      </w:r>
      <w:r w:rsidRPr="005B497C">
        <w:rPr>
          <w:rFonts w:ascii="Times New Roman" w:hAnsi="Times New Roman" w:cs="Times New Roman"/>
          <w:b/>
          <w:bCs/>
          <w:color w:val="000000"/>
          <w:sz w:val="28"/>
          <w:szCs w:val="28"/>
          <w:lang w:val="ru"/>
        </w:rPr>
        <w:t>пациентов со злокачественными новообразованиями</w:t>
      </w:r>
    </w:p>
    <w:p w14:paraId="676D7859" w14:textId="4AB6E9E1" w:rsidR="00EE2CB9" w:rsidRDefault="00EE2CB9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373633" w14:textId="6F273E15" w:rsidR="005B497C" w:rsidRDefault="005B497C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5999F" w14:textId="53635B7A" w:rsidR="005B497C" w:rsidRDefault="005B497C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B934AF" w14:textId="4D26DD7D" w:rsidR="005B497C" w:rsidRDefault="005B497C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0BDBED" w14:textId="4D00F2EE" w:rsidR="005B497C" w:rsidRDefault="005B497C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747A84" w14:textId="678CDC90" w:rsidR="005B497C" w:rsidRDefault="005B497C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66C83" w14:textId="05AD9C29" w:rsidR="005B497C" w:rsidRDefault="005B497C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4C77B4" w14:textId="4099380A" w:rsidR="005B497C" w:rsidRDefault="005B497C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07B704" w14:textId="3004F70F" w:rsidR="005B497C" w:rsidRDefault="005B497C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86D5C9" w14:textId="54C469F8" w:rsidR="005B497C" w:rsidRDefault="005B497C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2222CB" w14:textId="4E9D751A" w:rsidR="005B497C" w:rsidRDefault="005B497C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A2387F" w14:textId="2F5E0FA5" w:rsidR="005B497C" w:rsidRDefault="005B497C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8AE690" w14:textId="59BBEFF0" w:rsidR="005B497C" w:rsidRDefault="005B497C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F0AAEC" w14:textId="40D9E651" w:rsidR="005B497C" w:rsidRDefault="005B497C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58F51" w14:textId="0D37BA65" w:rsidR="005B497C" w:rsidRDefault="005B497C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22E776" w14:textId="77777777" w:rsidR="005B497C" w:rsidRPr="00115FDC" w:rsidRDefault="005B497C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AED8BA" w14:textId="77777777" w:rsidR="00EB0AAA" w:rsidRPr="00B54BD1" w:rsidRDefault="006B3A79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lastRenderedPageBreak/>
        <w:t>Уважаемый медицинский работник,</w:t>
      </w:r>
    </w:p>
    <w:p w14:paraId="67BD5513" w14:textId="77777777" w:rsidR="00EB0AAA" w:rsidRPr="00B54BD1" w:rsidRDefault="006B3A79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Компания </w:t>
      </w:r>
      <w:proofErr w:type="spellStart"/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>Рош</w:t>
      </w:r>
      <w:proofErr w:type="spellEnd"/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Продактс </w:t>
      </w:r>
      <w:proofErr w:type="spellStart"/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>Пти</w:t>
      </w:r>
      <w:proofErr w:type="spellEnd"/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Лимитед (</w:t>
      </w:r>
      <w:proofErr w:type="spellStart"/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>Рош</w:t>
      </w:r>
      <w:proofErr w:type="spellEnd"/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) хотела бы проинформировать Вас об обновлении, связанном с безопасностью, в информации о препарате </w:t>
      </w:r>
      <w:proofErr w:type="spellStart"/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>НеоРекормон</w:t>
      </w:r>
      <w:proofErr w:type="spellEnd"/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(</w:t>
      </w:r>
      <w:proofErr w:type="spellStart"/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>эпоэтин</w:t>
      </w:r>
      <w:proofErr w:type="spellEnd"/>
      <w:r w:rsidR="00372AC8"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> </w:t>
      </w:r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>бета).</w:t>
      </w:r>
    </w:p>
    <w:p w14:paraId="65759D55" w14:textId="77777777" w:rsidR="00EB0AAA" w:rsidRPr="00B54BD1" w:rsidRDefault="006B3A79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54B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  <w:t>Резюме</w:t>
      </w:r>
    </w:p>
    <w:p w14:paraId="6C21A124" w14:textId="77777777" w:rsidR="00EB0AAA" w:rsidRPr="00B54BD1" w:rsidRDefault="006B3A79" w:rsidP="00115FDC">
      <w:pPr>
        <w:numPr>
          <w:ilvl w:val="0"/>
          <w:numId w:val="1"/>
        </w:numPr>
        <w:shd w:val="clear" w:color="auto" w:fill="FFFFFF"/>
        <w:tabs>
          <w:tab w:val="clear" w:pos="776"/>
          <w:tab w:val="num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4B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  <w:t xml:space="preserve">Недавно Австралийская администрация лекарственных средств (TGA – </w:t>
      </w:r>
      <w:proofErr w:type="spellStart"/>
      <w:r w:rsidRPr="00B54B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  <w:t>Theraputic</w:t>
      </w:r>
      <w:proofErr w:type="spellEnd"/>
      <w:r w:rsidRPr="00B54B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  <w:t xml:space="preserve"> </w:t>
      </w:r>
      <w:proofErr w:type="spellStart"/>
      <w:r w:rsidRPr="00B54B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  <w:t>Goods</w:t>
      </w:r>
      <w:proofErr w:type="spellEnd"/>
      <w:r w:rsidRPr="00B54B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  <w:t xml:space="preserve"> </w:t>
      </w:r>
      <w:proofErr w:type="spellStart"/>
      <w:r w:rsidRPr="00B54B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  <w:t>Administration</w:t>
      </w:r>
      <w:proofErr w:type="spellEnd"/>
      <w:r w:rsidRPr="00B54B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  <w:t xml:space="preserve">) провела оценку риска повышения смертности при использовании стимуляторов эритропоэза (СЭ) для лечения анемии у пациентов со злокачественными новообразованиями. </w:t>
      </w:r>
    </w:p>
    <w:p w14:paraId="612FC50F" w14:textId="77777777" w:rsidR="00EB0AAA" w:rsidRPr="00B54BD1" w:rsidRDefault="006B3A79" w:rsidP="00115FDC">
      <w:pPr>
        <w:numPr>
          <w:ilvl w:val="0"/>
          <w:numId w:val="1"/>
        </w:numPr>
        <w:shd w:val="clear" w:color="auto" w:fill="FFFFFF"/>
        <w:tabs>
          <w:tab w:val="clear" w:pos="776"/>
          <w:tab w:val="num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4B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  <w:t>Оценка показала, что имеются данные о снижении общей выживаемости, связанном с использованием СЭ пациентами со злокачественными новообразованиями, основанные на международных сообщениях о нежелательных явлениях, медицинской литературе, соответствующих маркировке лекарственных препаратов от Управления по контролю за пищевыми продуктами и лекарственными препаратами США (FDA) и статьям Министерства здравоохранения Канады на препараты СЭ, а также рекомендациям экспертного консультативного комитета по лекарственным средствам TGA.</w:t>
      </w:r>
    </w:p>
    <w:p w14:paraId="00A7A858" w14:textId="77777777" w:rsidR="00EB0AAA" w:rsidRPr="00B54BD1" w:rsidRDefault="006B3A79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54B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  <w:t>Исходная информация о проблеме, связанной с безопасностью</w:t>
      </w:r>
    </w:p>
    <w:p w14:paraId="3AF1EDEB" w14:textId="77777777" w:rsidR="00EB0AAA" w:rsidRPr="00B54BD1" w:rsidRDefault="006B3A79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Препарат </w:t>
      </w:r>
      <w:proofErr w:type="spellStart"/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>НеоРекормон</w:t>
      </w:r>
      <w:proofErr w:type="spellEnd"/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показан:</w:t>
      </w:r>
      <w:r w:rsidR="00372AC8"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14:paraId="6E4121D1" w14:textId="77777777" w:rsidR="00EB0AAA" w:rsidRPr="00B54BD1" w:rsidRDefault="006B3A79" w:rsidP="006B230D">
      <w:pPr>
        <w:numPr>
          <w:ilvl w:val="0"/>
          <w:numId w:val="1"/>
        </w:numPr>
        <w:shd w:val="clear" w:color="auto" w:fill="FFFFFF"/>
        <w:tabs>
          <w:tab w:val="clear" w:pos="776"/>
          <w:tab w:val="num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4BD1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для лечения анемии, связанной с хронической болезнью почек (ХБП) у пациентов, находящихся на диализе, и пациентов с симптомами ХБП, еще не получающих диализ,</w:t>
      </w:r>
    </w:p>
    <w:p w14:paraId="53BB453D" w14:textId="77777777" w:rsidR="00EB0AAA" w:rsidRPr="00B54BD1" w:rsidRDefault="006B3A79" w:rsidP="006B230D">
      <w:pPr>
        <w:numPr>
          <w:ilvl w:val="0"/>
          <w:numId w:val="1"/>
        </w:numPr>
        <w:shd w:val="clear" w:color="auto" w:fill="FFFFFF"/>
        <w:tabs>
          <w:tab w:val="clear" w:pos="776"/>
          <w:tab w:val="num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4BD1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для повышения выхода </w:t>
      </w:r>
      <w:proofErr w:type="spellStart"/>
      <w:r w:rsidRPr="00B54BD1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аутологичной</w:t>
      </w:r>
      <w:proofErr w:type="spellEnd"/>
      <w:r w:rsidRPr="00B54BD1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крови у пациентов в рамках программы </w:t>
      </w:r>
      <w:proofErr w:type="spellStart"/>
      <w:r w:rsidRPr="00B54BD1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самодонорства</w:t>
      </w:r>
      <w:proofErr w:type="spellEnd"/>
      <w:r w:rsidRPr="00B54BD1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, проводимой во избежание использования гомологичной крови,</w:t>
      </w:r>
    </w:p>
    <w:p w14:paraId="525C07CE" w14:textId="77777777" w:rsidR="00EB0AAA" w:rsidRPr="00B54BD1" w:rsidRDefault="006B3A79" w:rsidP="006B230D">
      <w:pPr>
        <w:numPr>
          <w:ilvl w:val="0"/>
          <w:numId w:val="1"/>
        </w:numPr>
        <w:shd w:val="clear" w:color="auto" w:fill="FFFFFF"/>
        <w:tabs>
          <w:tab w:val="clear" w:pos="776"/>
          <w:tab w:val="num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4BD1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для предотвращения анемии недоношенных у новорожденных с массой тела при рождении 750–1500 г и </w:t>
      </w:r>
      <w:proofErr w:type="spellStart"/>
      <w:r w:rsidRPr="00B54BD1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гестационным</w:t>
      </w:r>
      <w:proofErr w:type="spellEnd"/>
      <w:r w:rsidRPr="00B54BD1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возрастом менее 34 недель,</w:t>
      </w:r>
    </w:p>
    <w:p w14:paraId="2FA45117" w14:textId="77777777" w:rsidR="00EB0AAA" w:rsidRPr="00B54BD1" w:rsidRDefault="006B3A79" w:rsidP="006B230D">
      <w:pPr>
        <w:numPr>
          <w:ilvl w:val="0"/>
          <w:numId w:val="1"/>
        </w:numPr>
        <w:shd w:val="clear" w:color="auto" w:fill="FFFFFF"/>
        <w:tabs>
          <w:tab w:val="clear" w:pos="776"/>
          <w:tab w:val="num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4BD1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для лечения анемии у пациентов с </w:t>
      </w:r>
      <w:proofErr w:type="spellStart"/>
      <w:r w:rsidRPr="00B54BD1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немиелоидными</w:t>
      </w:r>
      <w:proofErr w:type="spellEnd"/>
      <w:r w:rsidRPr="00B54BD1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злокачественными новообразованиями, при которых анемия развивается в результате сопутствующей химиотерапии, когда переливание крови не считается целесообразным.</w:t>
      </w:r>
    </w:p>
    <w:p w14:paraId="4DC79E5F" w14:textId="77777777" w:rsidR="00EB0AAA" w:rsidRPr="00B54BD1" w:rsidRDefault="006B3A79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Информация, связанная с безопасностью, относится к показаниям для лечения анемии у пациентов с </w:t>
      </w:r>
      <w:proofErr w:type="spellStart"/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>немиелоидными</w:t>
      </w:r>
      <w:proofErr w:type="spellEnd"/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злокачественными новообразованиями. Компания Рош тесно сотрудничала с TGA над обновлением информации о лекарственном препарате, чтобы включить данный идентифицированный риск повышения смертности при лечении анемии у пациентов со </w:t>
      </w:r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lastRenderedPageBreak/>
        <w:t>злокачественными новообразованиями. В соответствии с утвержденной информ</w:t>
      </w:r>
      <w:r w:rsidR="006B7C03"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>ацией о лекарственном препарате</w:t>
      </w:r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медицинские работники должны следовать рекомендациям по лечению анемии препаратом </w:t>
      </w:r>
      <w:proofErr w:type="spellStart"/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>НеоРекормон</w:t>
      </w:r>
      <w:proofErr w:type="spellEnd"/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и применять этот препарат, только если анемия является результатом сопутствующей химиотерапии, когда переливание крови не считается целесообразным, а также когда уровни гемоглобина не превышают 120</w:t>
      </w:r>
      <w:r w:rsidR="007D622B"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> </w:t>
      </w:r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>г/л.</w:t>
      </w:r>
      <w:r w:rsidR="00372AC8"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14:paraId="7E137322" w14:textId="77777777" w:rsidR="00EB0AAA" w:rsidRPr="00B54BD1" w:rsidRDefault="006B3A79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54B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  <w:t>В информацию о лекарственном препарате добавлена информация, связанная с безопасностью</w:t>
      </w:r>
    </w:p>
    <w:p w14:paraId="4B34CA46" w14:textId="77777777" w:rsidR="00EB0AAA" w:rsidRPr="00B54BD1" w:rsidRDefault="006B3A79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Вышеуказанная информация добавлена в виде предупреждения в рамке в информацию о лекарственном препарате </w:t>
      </w:r>
      <w:proofErr w:type="spellStart"/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>НеоРекормон</w:t>
      </w:r>
      <w:proofErr w:type="spellEnd"/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>.</w:t>
      </w:r>
    </w:p>
    <w:p w14:paraId="4340C110" w14:textId="77777777" w:rsidR="00EB0AAA" w:rsidRPr="00B54BD1" w:rsidRDefault="006B3A79" w:rsidP="00EE2C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77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>Применение при злокачественных новообразованиях</w:t>
      </w:r>
    </w:p>
    <w:p w14:paraId="263B504A" w14:textId="6C035542" w:rsidR="00EB0AAA" w:rsidRPr="00B54BD1" w:rsidRDefault="006B3A79" w:rsidP="00EE2C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9177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>В некоторых исследованиях использование стимуляторов эритропоэза (СЭ) для лечения анемии у пациентов со злокачественным новообразованием было связано с повышением смертности пациентов. СЭ должны использоваться для лечения анемии только в тех случаях, когда она является результатом сопутствующей химиотерапии, и только когда переливание крови не считается целесообразным. Уровни гемоглобина не должны превышать 120 г/л</w:t>
      </w:r>
      <w:r w:rsidR="00B54BD1"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>.</w:t>
      </w:r>
    </w:p>
    <w:p w14:paraId="072DD169" w14:textId="77777777" w:rsidR="00EB0AAA" w:rsidRPr="00B54BD1" w:rsidRDefault="006B3A79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Перед назначением препарата изучите полную информацию о лекарственном препарате, представленную на сайте TGA </w:t>
      </w:r>
      <w:r w:rsidRPr="00B54BD1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ru"/>
        </w:rPr>
        <w:t>www.ebs.tga.gov.au.</w:t>
      </w:r>
    </w:p>
    <w:p w14:paraId="03C7543B" w14:textId="77777777" w:rsidR="00EB0AAA" w:rsidRPr="00B54BD1" w:rsidRDefault="006B3A79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54BD1">
        <w:rPr>
          <w:rFonts w:ascii="Times New Roman" w:hAnsi="Times New Roman" w:cs="Times New Roman"/>
          <w:b/>
          <w:bCs/>
          <w:i/>
          <w:iCs/>
          <w:color w:val="221E1F"/>
          <w:sz w:val="28"/>
          <w:szCs w:val="28"/>
          <w:lang w:val="ru"/>
        </w:rPr>
        <w:t>Дополнительная информация</w:t>
      </w:r>
    </w:p>
    <w:p w14:paraId="10F71FEC" w14:textId="77777777" w:rsidR="00EB0AAA" w:rsidRPr="00B54BD1" w:rsidRDefault="006B3A79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54BD1">
        <w:rPr>
          <w:rFonts w:ascii="Times New Roman" w:hAnsi="Times New Roman" w:cs="Times New Roman"/>
          <w:color w:val="221E1F"/>
          <w:sz w:val="28"/>
          <w:szCs w:val="28"/>
          <w:lang w:val="ru"/>
        </w:rPr>
        <w:t xml:space="preserve">Если у Вас остались вопросы или если Вам необходима дополнительная информация об использовании препарата </w:t>
      </w:r>
      <w:proofErr w:type="spellStart"/>
      <w:r w:rsidRPr="00B54BD1">
        <w:rPr>
          <w:rFonts w:ascii="Times New Roman" w:hAnsi="Times New Roman" w:cs="Times New Roman"/>
          <w:color w:val="221E1F"/>
          <w:sz w:val="28"/>
          <w:szCs w:val="28"/>
          <w:lang w:val="ru"/>
        </w:rPr>
        <w:t>НеоРекормон</w:t>
      </w:r>
      <w:proofErr w:type="spellEnd"/>
      <w:r w:rsidRPr="00B54BD1">
        <w:rPr>
          <w:rFonts w:ascii="Times New Roman" w:hAnsi="Times New Roman" w:cs="Times New Roman"/>
          <w:color w:val="221E1F"/>
          <w:sz w:val="28"/>
          <w:szCs w:val="28"/>
          <w:lang w:val="ru"/>
        </w:rPr>
        <w:t xml:space="preserve">, свяжитесь со службой медицинского информирования компании Рош по телефону 1800 233 950 или по электронной почте </w:t>
      </w:r>
      <w:r w:rsidRPr="00B54BD1">
        <w:rPr>
          <w:rFonts w:ascii="Times New Roman" w:hAnsi="Times New Roman" w:cs="Times New Roman"/>
          <w:color w:val="0066CC"/>
          <w:sz w:val="28"/>
          <w:szCs w:val="28"/>
          <w:u w:val="single"/>
          <w:lang w:val="ru"/>
        </w:rPr>
        <w:t>australia.medinfo@roche.com</w:t>
      </w:r>
    </w:p>
    <w:p w14:paraId="739054F5" w14:textId="77777777" w:rsidR="00EB0AAA" w:rsidRPr="00B54BD1" w:rsidRDefault="00413068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54B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  <w:t>Сообщение</w:t>
      </w:r>
      <w:r w:rsidR="006B3A79" w:rsidRPr="00B54B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  <w:t xml:space="preserve"> о нежелательных явлениях</w:t>
      </w:r>
      <w:r w:rsidR="00372AC8" w:rsidRPr="00B54B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  <w:t xml:space="preserve"> </w:t>
      </w:r>
    </w:p>
    <w:p w14:paraId="03182C00" w14:textId="77777777" w:rsidR="00EB0AAA" w:rsidRPr="00B54BD1" w:rsidRDefault="006B3A79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Компания Рош продолжит мониторинг безопасности лекарственного препарата </w:t>
      </w:r>
      <w:proofErr w:type="spellStart"/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>НеоРекормон</w:t>
      </w:r>
      <w:proofErr w:type="spellEnd"/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в соответствии с установ</w:t>
      </w:r>
      <w:r w:rsidR="00572711"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>ленными механизмами сообщения о</w:t>
      </w:r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НЯ и будет уведомлять регуляторные органы в соответствии с действующим нормативными требованиями. Вы можете помочь нам в осуществлении мониторинга безопасности препарата </w:t>
      </w:r>
      <w:proofErr w:type="spellStart"/>
      <w:r w:rsidRPr="00B54BD1">
        <w:rPr>
          <w:rFonts w:ascii="Times New Roman" w:hAnsi="Times New Roman" w:cs="Times New Roman"/>
          <w:color w:val="221E1F"/>
          <w:sz w:val="28"/>
          <w:szCs w:val="28"/>
          <w:lang w:val="ru"/>
        </w:rPr>
        <w:t>НеоРекормон</w:t>
      </w:r>
      <w:proofErr w:type="spellEnd"/>
      <w:r w:rsidRPr="00B54BD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, сообщая о подозреваемых нежелательных реакциях на электронную почту отдела безопасности лекарственных средств компании Рош: </w:t>
      </w:r>
      <w:r w:rsidRPr="00B54BD1">
        <w:rPr>
          <w:rFonts w:ascii="Times New Roman" w:hAnsi="Times New Roman" w:cs="Times New Roman"/>
          <w:color w:val="0066CC"/>
          <w:sz w:val="28"/>
          <w:szCs w:val="28"/>
          <w:lang w:val="ru"/>
        </w:rPr>
        <w:t>australia.drug_safety@roche.com</w:t>
      </w:r>
    </w:p>
    <w:p w14:paraId="56EE0C47" w14:textId="05DADBA3" w:rsidR="00EB0AAA" w:rsidRPr="00EE2CB9" w:rsidRDefault="00EB0AAA" w:rsidP="00EE2CB9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EB0AAA" w:rsidRPr="00EE2CB9" w:rsidSect="00EE2CB9">
      <w:headerReference w:type="default" r:id="rId7"/>
      <w:pgSz w:w="11909" w:h="16838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48035" w14:textId="77777777" w:rsidR="009C2092" w:rsidRDefault="009C2092">
      <w:r>
        <w:separator/>
      </w:r>
    </w:p>
  </w:endnote>
  <w:endnote w:type="continuationSeparator" w:id="0">
    <w:p w14:paraId="2D662AF2" w14:textId="77777777" w:rsidR="009C2092" w:rsidRDefault="009C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13AD1" w14:textId="77777777" w:rsidR="009C2092" w:rsidRDefault="009C2092">
      <w:r>
        <w:separator/>
      </w:r>
    </w:p>
  </w:footnote>
  <w:footnote w:type="continuationSeparator" w:id="0">
    <w:p w14:paraId="11FA6439" w14:textId="77777777" w:rsidR="009C2092" w:rsidRDefault="009C2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DE86" w14:textId="7D2AB410" w:rsidR="00EE2CB9" w:rsidRDefault="00EE2CB9" w:rsidP="00EE2CB9">
    <w:pPr>
      <w:pStyle w:val="a3"/>
      <w:jc w:val="right"/>
    </w:pPr>
  </w:p>
  <w:p w14:paraId="10088397" w14:textId="77777777" w:rsidR="00EE2CB9" w:rsidRDefault="00EE2C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E4A52A"/>
    <w:lvl w:ilvl="0">
      <w:numFmt w:val="bullet"/>
      <w:lvlText w:val="*"/>
      <w:lvlJc w:val="left"/>
    </w:lvl>
  </w:abstractNum>
  <w:abstractNum w:abstractNumId="1" w15:restartNumberingAfterBreak="0">
    <w:nsid w:val="4B2F06BD"/>
    <w:multiLevelType w:val="hybridMultilevel"/>
    <w:tmpl w:val="73420D5A"/>
    <w:lvl w:ilvl="0" w:tplc="842E4FD4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E4E4A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9469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AA4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EDD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D4CE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20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E4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CEB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tabs>
            <w:tab w:val="num" w:pos="776"/>
          </w:tabs>
        </w:pPr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B9"/>
    <w:rsid w:val="00114420"/>
    <w:rsid w:val="00115FDC"/>
    <w:rsid w:val="001B61E3"/>
    <w:rsid w:val="00274122"/>
    <w:rsid w:val="00372AC8"/>
    <w:rsid w:val="00413068"/>
    <w:rsid w:val="004B142C"/>
    <w:rsid w:val="004D7CF8"/>
    <w:rsid w:val="00572711"/>
    <w:rsid w:val="005B497C"/>
    <w:rsid w:val="006B230D"/>
    <w:rsid w:val="006B3A79"/>
    <w:rsid w:val="006B7C03"/>
    <w:rsid w:val="007D622B"/>
    <w:rsid w:val="009C2092"/>
    <w:rsid w:val="00A95CD7"/>
    <w:rsid w:val="00AB78CE"/>
    <w:rsid w:val="00B00E09"/>
    <w:rsid w:val="00B54BD1"/>
    <w:rsid w:val="00BE1454"/>
    <w:rsid w:val="00BE669A"/>
    <w:rsid w:val="00CD0D88"/>
    <w:rsid w:val="00D269A8"/>
    <w:rsid w:val="00EB0AAA"/>
    <w:rsid w:val="00EE2CB9"/>
    <w:rsid w:val="00F543E4"/>
    <w:rsid w:val="00F76F6C"/>
    <w:rsid w:val="00F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A85C2"/>
  <w15:docId w15:val="{F8AD74F7-320A-4FA2-9F62-C1E6DDD5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CB9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CB9"/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E2C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0D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BP_ELENA 12</dc:creator>
  <cp:lastModifiedBy>Пользователь</cp:lastModifiedBy>
  <cp:revision>5</cp:revision>
  <cp:lastPrinted>2021-12-16T04:50:00Z</cp:lastPrinted>
  <dcterms:created xsi:type="dcterms:W3CDTF">2021-12-15T15:52:00Z</dcterms:created>
  <dcterms:modified xsi:type="dcterms:W3CDTF">2021-12-29T08:24:00Z</dcterms:modified>
</cp:coreProperties>
</file>